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AF24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right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1. pielikums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br/>
        <w:t>Smiltenes novada pašvaldības domes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br/>
        <w:t>2022. gada 30. marta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br/>
        <w:t>saistošajiem noteikumiem Nr. 12/</w:t>
      </w:r>
      <w:bookmarkStart w:id="0" w:name="piel-694992"/>
      <w:bookmarkEnd w:id="0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22</w:t>
      </w:r>
    </w:p>
    <w:p w14:paraId="7E37AEC6" w14:textId="77777777" w:rsidR="004F163F" w:rsidRPr="00954A54" w:rsidRDefault="004F163F" w:rsidP="004F163F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bCs/>
          <w:szCs w:val="24"/>
          <w:lang w:val="lv-LV"/>
        </w:rPr>
      </w:pPr>
      <w:bookmarkStart w:id="1" w:name="694993"/>
      <w:bookmarkStart w:id="2" w:name="n-694993"/>
      <w:bookmarkEnd w:id="1"/>
      <w:bookmarkEnd w:id="2"/>
      <w:r w:rsidRPr="00954A54">
        <w:rPr>
          <w:rFonts w:ascii="Cambria" w:eastAsia="Times New Roman" w:hAnsi="Cambria" w:cs="Times New Roman"/>
          <w:b/>
          <w:bCs/>
          <w:szCs w:val="24"/>
          <w:lang w:val="lv-LV"/>
        </w:rPr>
        <w:t>Decentralizētās kanalizācijas sistēmas reģistrācijas apliecinājums</w:t>
      </w:r>
    </w:p>
    <w:p w14:paraId="3938D2B3" w14:textId="77777777" w:rsidR="004F163F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</w:p>
    <w:p w14:paraId="53F7DEBD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1. Objekta adrese, kadastra numurs/apzīmējums/zemes vienības kadastra apzīmējums un ēkas vai dzīvokļa kadastra apzīmējums _____________________________________________</w:t>
      </w:r>
    </w:p>
    <w:p w14:paraId="6728DDF6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2. Objektā deklarēto iedzīvotāju skaits ____________</w:t>
      </w:r>
    </w:p>
    <w:p w14:paraId="25D81663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3. Objektā faktiski dzīvojošo iedzīvotāju skaits ____________</w:t>
      </w:r>
    </w:p>
    <w:p w14:paraId="6DDF9CA5" w14:textId="77777777" w:rsidR="004F163F" w:rsidRPr="00414EB9" w:rsidRDefault="004F163F" w:rsidP="004F163F">
      <w:pPr>
        <w:shd w:val="clear" w:color="auto" w:fill="FFFFFF"/>
        <w:spacing w:before="130" w:after="6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4. Vai objektā ūdensapgādes patēriņa uzskaitei ir uzstādīts ūdens mērītājs?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4F163F" w:rsidRPr="00954A54" w14:paraId="08E99B59" w14:textId="77777777" w:rsidTr="00B7350D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894720" w14:textId="77777777" w:rsidR="004F163F" w:rsidRPr="00954A54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7A60BB" w14:textId="77777777" w:rsidR="004F163F" w:rsidRPr="00954A54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b/>
                <w:bCs/>
                <w:noProof/>
                <w:sz w:val="19"/>
                <w:szCs w:val="20"/>
                <w:lang w:val="lv-LV" w:eastAsia="lv-LV"/>
              </w:rPr>
              <w:drawing>
                <wp:inline distT="0" distB="0" distL="0" distR="0" wp14:anchorId="7F204212" wp14:editId="1393B091">
                  <wp:extent cx="121920" cy="12192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A54">
              <w:rPr>
                <w:rFonts w:ascii="Cambria" w:eastAsia="Times New Roman" w:hAnsi="Cambria" w:cs="Times New Roman"/>
                <w:b/>
                <w:bCs/>
                <w:sz w:val="19"/>
                <w:szCs w:val="20"/>
                <w:lang w:val="lv-LV"/>
              </w:rPr>
              <w:t> </w:t>
            </w: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ir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DDB210" w14:textId="77777777" w:rsidR="004F163F" w:rsidRPr="00954A54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b/>
                <w:bCs/>
                <w:sz w:val="19"/>
                <w:szCs w:val="20"/>
                <w:lang w:val="lv-LV"/>
              </w:rPr>
              <w:t> </w:t>
            </w:r>
            <w:r w:rsidRPr="00954A54">
              <w:rPr>
                <w:rFonts w:ascii="Cambria" w:eastAsia="Times New Roman" w:hAnsi="Cambria" w:cs="Times New Roman"/>
                <w:b/>
                <w:bCs/>
                <w:noProof/>
                <w:sz w:val="19"/>
                <w:szCs w:val="20"/>
                <w:lang w:val="lv-LV" w:eastAsia="lv-LV"/>
              </w:rPr>
              <w:drawing>
                <wp:inline distT="0" distB="0" distL="0" distR="0" wp14:anchorId="23E96040" wp14:editId="4B1E4C38">
                  <wp:extent cx="121920" cy="121920"/>
                  <wp:effectExtent l="0" t="0" r="0" b="0"/>
                  <wp:docPr id="42" name="Attēls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 nav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04D845" w14:textId="77777777" w:rsidR="004F163F" w:rsidRPr="00954A54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 </w:t>
            </w:r>
          </w:p>
        </w:tc>
      </w:tr>
    </w:tbl>
    <w:p w14:paraId="04F9555D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4.1. Esošais vai prognozējamais </w:t>
      </w: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(atbilstošo pasvītrot)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ūdens patēriņš mēnesī _______m</w:t>
      </w:r>
      <w:r w:rsidRPr="00414EB9">
        <w:rPr>
          <w:rFonts w:ascii="Cambria" w:eastAsia="Times New Roman" w:hAnsi="Cambria" w:cs="Times New Roman"/>
          <w:sz w:val="19"/>
          <w:szCs w:val="20"/>
          <w:vertAlign w:val="superscript"/>
          <w:lang w:val="lv-LV"/>
        </w:rPr>
        <w:t>3</w:t>
      </w:r>
    </w:p>
    <w:p w14:paraId="6C4C94D1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i/>
          <w:iCs/>
          <w:sz w:val="19"/>
          <w:szCs w:val="16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4.2. Izvedamais notekūdeņu un nosēdumu vai dūņu nogulšņu apjoms mēnesī______ m</w:t>
      </w:r>
      <w:r w:rsidRPr="00414EB9">
        <w:rPr>
          <w:rFonts w:ascii="Cambria" w:eastAsia="Times New Roman" w:hAnsi="Cambria" w:cs="Times New Roman"/>
          <w:sz w:val="19"/>
          <w:szCs w:val="20"/>
          <w:vertAlign w:val="superscript"/>
          <w:lang w:val="lv-LV"/>
        </w:rPr>
        <w:t xml:space="preserve">3  </w:t>
      </w:r>
    </w:p>
    <w:p w14:paraId="50F6136E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</w:pPr>
      <w:proofErr w:type="spellStart"/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Krājtvertņu</w:t>
      </w:r>
      <w:proofErr w:type="spellEnd"/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 xml:space="preserve"> gadījumā esošam vai prognozējamajam ūdens patēriņa apjomam jāsakrīt ar izvedamo notekūdeņu apjomu gadā.</w:t>
      </w:r>
    </w:p>
    <w:p w14:paraId="0B544665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5. Esošais ēkas veids un labiekārtojums:</w:t>
      </w:r>
    </w:p>
    <w:p w14:paraId="3B1D4597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45ED96E" wp14:editId="25C8500B">
            <wp:extent cx="121920" cy="12192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dzīvoklis daudzdzīvokļu ēkā ar centralizētu ūdensapgādi, kanalizāciju un karstā ūdens apgādi (ar vannām un dušām);</w:t>
      </w:r>
    </w:p>
    <w:p w14:paraId="6D0394D5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10B36BDF" wp14:editId="4E3E147D">
            <wp:extent cx="121920" cy="12192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savrupmāja ar centralizētu ūdensapgādi, kanalizāciju un karstā ūdens apgādi (ar vannām un dušām);</w:t>
      </w:r>
    </w:p>
    <w:p w14:paraId="3D71AD8F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3EA4EE61" wp14:editId="5859D973">
            <wp:extent cx="121920" cy="12192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ēka ar centralizētu ūdensapgādi un kanalizāciju (bez vannām un dušām);</w:t>
      </w:r>
    </w:p>
    <w:p w14:paraId="4D1C1C4B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9F8054B" wp14:editId="0AEFD309">
            <wp:extent cx="121920" cy="121920"/>
            <wp:effectExtent l="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 ēka ar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brīvkrāniem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ārpus ēkas un vietējo kanalizāciju.</w:t>
      </w:r>
    </w:p>
    <w:p w14:paraId="4A763ED0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 Decentralizētās kanalizācijas sistēmas veids (atzīmēt atbilstošo):</w:t>
      </w:r>
    </w:p>
    <w:p w14:paraId="35549C09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2D7FAA02" wp14:editId="15A9C8E0">
            <wp:extent cx="121920" cy="12192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 6.1. Notekūdeņu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krājtvertne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(jebkurš rezervuārs,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nosēdaka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vai izsmeļamā bedre, pārvietojamā tualete, sausā tualete), kurās uzkrājas neattīrīti notekūdeņi vai kanalizācijas sistēmu atkritumi:</w:t>
      </w:r>
    </w:p>
    <w:p w14:paraId="09F2E362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6.1.1. Cik bieži tiek veikta notekūdeņu izvešana:</w:t>
      </w:r>
    </w:p>
    <w:p w14:paraId="4609DF79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2D8BEB0E" wp14:editId="6BC53BF8">
            <wp:extent cx="121920" cy="121920"/>
            <wp:effectExtent l="0" t="0" r="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vairāk kā 1 x mēnesī;</w:t>
      </w:r>
    </w:p>
    <w:p w14:paraId="03CEF9A1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89A88AA" wp14:editId="2B79A711">
            <wp:extent cx="121920" cy="121920"/>
            <wp:effectExtent l="0" t="0" r="0" b="0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mēnesī;</w:t>
      </w:r>
    </w:p>
    <w:p w14:paraId="364B52B5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50B11B0" wp14:editId="44B276F6">
            <wp:extent cx="121920" cy="121920"/>
            <wp:effectExtent l="0" t="0" r="0" b="0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ceturksnī;</w:t>
      </w:r>
    </w:p>
    <w:p w14:paraId="02B0AC98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D8A961C" wp14:editId="18AD6260">
            <wp:extent cx="121920" cy="121920"/>
            <wp:effectExtent l="0" t="0" r="0" b="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pusgadā;</w:t>
      </w:r>
    </w:p>
    <w:p w14:paraId="4ED9F798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hAnsi="Cambria" w:cs="Times New Roman"/>
          <w:noProof/>
          <w:sz w:val="19"/>
          <w:lang w:val="lv-LV" w:eastAsia="lv-LV"/>
        </w:rPr>
        <w:drawing>
          <wp:inline distT="0" distB="0" distL="0" distR="0" wp14:anchorId="4EA3CB2D" wp14:editId="7CB65011">
            <wp:extent cx="121920" cy="121920"/>
            <wp:effectExtent l="0" t="0" r="0" b="0"/>
            <wp:docPr id="4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gadā;</w:t>
      </w:r>
    </w:p>
    <w:p w14:paraId="1AFC5ACA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hAnsi="Cambria" w:cs="Times New Roman"/>
          <w:noProof/>
          <w:sz w:val="19"/>
          <w:lang w:val="lv-LV" w:eastAsia="lv-LV"/>
        </w:rPr>
        <w:drawing>
          <wp:inline distT="0" distB="0" distL="0" distR="0" wp14:anchorId="792A8A64" wp14:editId="700C2605">
            <wp:extent cx="119380" cy="11938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cits izvešanas biežums _______________(</w:t>
      </w: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lūdzu norādīt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)</w:t>
      </w:r>
    </w:p>
    <w:p w14:paraId="5E33B652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6.1.2.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Krājtvertnes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tilpums:</w:t>
      </w:r>
    </w:p>
    <w:p w14:paraId="00E657D0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1D1B8C39" wp14:editId="44DF2AAB">
            <wp:extent cx="121920" cy="121920"/>
            <wp:effectExtent l="0" t="0" r="0" b="0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&lt; 3m³; </w:t>
      </w: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4074B24B" wp14:editId="57E8CEB9">
            <wp:extent cx="121920" cy="121920"/>
            <wp:effectExtent l="0" t="0" r="0" b="0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3 līdz 5 m³; </w:t>
      </w: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194F6321" wp14:editId="159AAD40">
            <wp:extent cx="121920" cy="121920"/>
            <wp:effectExtent l="0" t="0" r="0" b="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5 līdz 10 m³; </w:t>
      </w: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9F535EE" wp14:editId="7F22E8D0">
            <wp:extent cx="121920" cy="121920"/>
            <wp:effectExtent l="0" t="0" r="0" b="0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&gt; 10 m³.</w:t>
      </w:r>
    </w:p>
    <w:p w14:paraId="1FC368E2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trike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6.1.3. Cik bieži jāizved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krājtvertne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aprēķinot atbilstoši šo noteikumu 6. punktam (aizpilda Smiltenes novada pašvaldības atbildīgais speciālists):</w:t>
      </w:r>
    </w:p>
    <w:p w14:paraId="269B60EC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94A6F57" wp14:editId="379E5F82">
            <wp:extent cx="121920" cy="121920"/>
            <wp:effectExtent l="0" t="0" r="0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vairāk kā 1 x mēnesī;</w:t>
      </w:r>
    </w:p>
    <w:p w14:paraId="31E21344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lastRenderedPageBreak/>
        <w:drawing>
          <wp:inline distT="0" distB="0" distL="0" distR="0" wp14:anchorId="51C2BE4A" wp14:editId="370B0256">
            <wp:extent cx="121920" cy="121920"/>
            <wp:effectExtent l="0" t="0" r="0" b="0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mēnesī;</w:t>
      </w:r>
    </w:p>
    <w:p w14:paraId="4909EB83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3C6574D5" wp14:editId="1B3FF62F">
            <wp:extent cx="121920" cy="121920"/>
            <wp:effectExtent l="0" t="0" r="0" b="0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ceturksnī;</w:t>
      </w:r>
    </w:p>
    <w:p w14:paraId="1C9CCD95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FD424A3" wp14:editId="088E90EE">
            <wp:extent cx="121920" cy="121920"/>
            <wp:effectExtent l="0" t="0" r="0" b="0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pusgadā;</w:t>
      </w:r>
    </w:p>
    <w:p w14:paraId="468785C6" w14:textId="77777777" w:rsidR="004F163F" w:rsidRPr="00414EB9" w:rsidRDefault="004F163F" w:rsidP="004F163F">
      <w:pPr>
        <w:shd w:val="clear" w:color="auto" w:fill="FFFFFF"/>
        <w:tabs>
          <w:tab w:val="left" w:pos="720"/>
        </w:tabs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05ABCEC" wp14:editId="140E87FF">
            <wp:extent cx="121920" cy="121920"/>
            <wp:effectExtent l="0" t="0" r="0" b="0"/>
            <wp:docPr id="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gadā;</w:t>
      </w:r>
    </w:p>
    <w:p w14:paraId="5823E30E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C840873" wp14:editId="4044C9D7">
            <wp:extent cx="121920" cy="121920"/>
            <wp:effectExtent l="0" t="0" r="0" b="0"/>
            <wp:docPr id="2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cits izvešanas biežums _______________(lūdzu norādīt)</w:t>
      </w:r>
    </w:p>
    <w:p w14:paraId="73CA8007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6.2. Rūpnieciski izgatavotas notekūdeņu attīrīšanas iekārtas, kuras attīrītos notekūdeņus novada vidē un kopējā jauda ir mazāka par 5 m</w:t>
      </w:r>
      <w:r w:rsidRPr="00414EB9">
        <w:rPr>
          <w:rFonts w:ascii="Cambria" w:eastAsia="Times New Roman" w:hAnsi="Cambria" w:cs="Times New Roman"/>
          <w:sz w:val="19"/>
          <w:szCs w:val="20"/>
          <w:vertAlign w:val="superscript"/>
          <w:lang w:val="lv-LV"/>
        </w:rPr>
        <w:t>3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/diennaktī:</w:t>
      </w:r>
    </w:p>
    <w:p w14:paraId="3A9E749E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6.2.1. Cik bieži tiek veikta regulārā apkope lokālajām notekūdeņu attīrīšanas iekārtām:</w:t>
      </w:r>
    </w:p>
    <w:p w14:paraId="6BECB6C6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2A002170" wp14:editId="620F817B">
            <wp:extent cx="121920" cy="121920"/>
            <wp:effectExtent l="0" t="0" r="0" b="0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vairāk kā 1 x gadā;</w:t>
      </w:r>
    </w:p>
    <w:p w14:paraId="732CC0EA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7E72394" wp14:editId="494C9AB7">
            <wp:extent cx="121920" cy="121920"/>
            <wp:effectExtent l="0" t="0" r="0" b="0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gadā;</w:t>
      </w:r>
    </w:p>
    <w:p w14:paraId="16F1BBEF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1AD82FEE" wp14:editId="72B381F1">
            <wp:extent cx="121920" cy="121920"/>
            <wp:effectExtent l="0" t="0" r="0" b="0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retāk kā 1x gadā.</w:t>
      </w:r>
    </w:p>
    <w:p w14:paraId="52C37B17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6.2.2. Kad veikta iepriekšējā apkope?</w:t>
      </w:r>
    </w:p>
    <w:p w14:paraId="30561532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___________________________________ </w:t>
      </w: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(lūdzu norādīt mēnesi un gadu)</w:t>
      </w:r>
    </w:p>
    <w:p w14:paraId="7177F1F5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6.2.3. Kā īpašumā tiek nodrošināta atbilstoša notekūdeņu attīrīšanas iekārtu apsaimniekošana:</w:t>
      </w:r>
    </w:p>
    <w:p w14:paraId="218A3932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B8CFB80" wp14:editId="1A994E92">
            <wp:extent cx="121920" cy="121920"/>
            <wp:effectExtent l="0" t="0" r="0" b="0"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Līgums par īpašumā esošo NAI apkalpošanas un ekspluatācijas pasākumu nodrošināšanu;</w:t>
      </w:r>
    </w:p>
    <w:p w14:paraId="4EC0E9F0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0667EE44" wp14:editId="5C2C5528">
            <wp:extent cx="121920" cy="121920"/>
            <wp:effectExtent l="0" t="0" r="0" b="0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apsaimnieko pats īpašnieks;</w:t>
      </w:r>
    </w:p>
    <w:p w14:paraId="59DB6D8F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2BCBD10D" wp14:editId="451F9A51">
            <wp:extent cx="121920" cy="121920"/>
            <wp:effectExtent l="0" t="0" r="0" b="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netiek nodrošināta.</w:t>
      </w:r>
    </w:p>
    <w:p w14:paraId="5206EAD4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6.2.4. Vai ir tehniskā dokumentācijas par notekūdeņu attīrīšanas iekārtu izbūvi:</w:t>
      </w:r>
    </w:p>
    <w:p w14:paraId="6E6BA5B9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86FF0E9" wp14:editId="297A1288">
            <wp:extent cx="121920" cy="121920"/>
            <wp:effectExtent l="0" t="0" r="0" b="0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ir;</w:t>
      </w:r>
    </w:p>
    <w:p w14:paraId="32C19AD3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4B25B6DC" wp14:editId="00E4EC65">
            <wp:extent cx="121920" cy="121920"/>
            <wp:effectExtent l="0" t="0" r="0" b="0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nav.</w:t>
      </w:r>
    </w:p>
    <w:p w14:paraId="485D6ACA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6.3.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Septiķis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ar divām vai vairāk kamerām, kur notekūdeņi pēc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septiķa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vidē tiek novadīti caur speciāli ierīkotu infiltrācijas sistēmu (filtrācijas laukiem, apakšzemes filtrējošām drenām, smilts grants filtriem, filtrācijas grāvjiem vai akām un kurš izbūvēts atbilstoši būvniecību regulējošiem normatīvajiem aktiem:</w:t>
      </w:r>
    </w:p>
    <w:p w14:paraId="42D6B4EE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6.3.1. Cik bieži tiek veikta nosēdumu izvešana no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septiķa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nostādinātāja:</w:t>
      </w:r>
    </w:p>
    <w:p w14:paraId="41E7D75E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94D8354" wp14:editId="5DB426E6">
            <wp:extent cx="121920" cy="121920"/>
            <wp:effectExtent l="0" t="0" r="0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vairāk kā 1 x gadā;</w:t>
      </w:r>
    </w:p>
    <w:p w14:paraId="763E00DF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34534BF" wp14:editId="71057281">
            <wp:extent cx="121920" cy="121920"/>
            <wp:effectExtent l="0" t="0" r="0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1x gadā;</w:t>
      </w:r>
    </w:p>
    <w:p w14:paraId="43B44F0B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906A703" wp14:editId="0F420A84">
            <wp:extent cx="121920" cy="121920"/>
            <wp:effectExtent l="0" t="0" r="0" b="0"/>
            <wp:docPr id="33" name="Attēl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retāk kā 1x gadā;</w:t>
      </w:r>
    </w:p>
    <w:p w14:paraId="77491F5A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6.3.2. Kad veikta iepriekšējā izvešana?</w:t>
      </w:r>
    </w:p>
    <w:p w14:paraId="4B44AF0A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_______________________________ (</w:t>
      </w: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lūdzu norādīt mēnesi un gadu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)</w:t>
      </w:r>
    </w:p>
    <w:p w14:paraId="24FBE97A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6.3.3. Kā īpašumā tiek nodrošināta atbilstoša nosēdumu izvešana no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septiķa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nostādinātājā?</w:t>
      </w:r>
    </w:p>
    <w:p w14:paraId="6F38B4CD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39A1722" wp14:editId="7976617E">
            <wp:extent cx="121920" cy="121920"/>
            <wp:effectExtent l="0" t="0" r="0" b="0"/>
            <wp:docPr id="34" name="Attēl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Līgums par uzkrāto notekūdeņu izvešanu;</w:t>
      </w:r>
    </w:p>
    <w:p w14:paraId="6D7D0140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4D871F93" wp14:editId="53D32D88">
            <wp:extent cx="121920" cy="121920"/>
            <wp:effectExtent l="0" t="0" r="0" b="0"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pēc vajadzības pasūtu nepieciešamos pakalpojumus komersantiem;</w:t>
      </w:r>
    </w:p>
    <w:p w14:paraId="6FA5D9ED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6786A028" wp14:editId="32BB11FF">
            <wp:extent cx="121920" cy="121920"/>
            <wp:effectExtent l="0" t="0" r="0" b="0"/>
            <wp:docPr id="3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netiek nodrošināta.</w:t>
      </w:r>
    </w:p>
    <w:p w14:paraId="48A645AB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6.3.4. Vai ir tehniskā dokumentācijas par </w:t>
      </w:r>
      <w:proofErr w:type="spellStart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septiķa</w:t>
      </w:r>
      <w:proofErr w:type="spellEnd"/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 xml:space="preserve"> ar filtrācijas lauku izbūvi:</w:t>
      </w:r>
    </w:p>
    <w:p w14:paraId="2DCB929B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4DAE39F4" wp14:editId="2FF22912">
            <wp:extent cx="121920" cy="121920"/>
            <wp:effectExtent l="0" t="0" r="0" b="0"/>
            <wp:docPr id="37" name="Attēl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ir;</w:t>
      </w:r>
    </w:p>
    <w:p w14:paraId="75C403D8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81E72CC" wp14:editId="43270574">
            <wp:extent cx="121920" cy="121920"/>
            <wp:effectExtent l="0" t="0" r="0" b="0"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nav.</w:t>
      </w:r>
    </w:p>
    <w:p w14:paraId="7BD476DE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lastRenderedPageBreak/>
        <w:drawing>
          <wp:inline distT="0" distB="0" distL="0" distR="0" wp14:anchorId="4B090B08" wp14:editId="34F90E38">
            <wp:extent cx="121920" cy="121920"/>
            <wp:effectExtent l="0" t="0" r="0" b="0"/>
            <wp:docPr id="39" name="Attēl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6.4. Cits ______________________ (</w:t>
      </w: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lūdzu norādiet Jūsu īpašumā esošās decentralizētās kanalizācijas sistēmas veidu</w:t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)</w:t>
      </w:r>
    </w:p>
    <w:p w14:paraId="20E1172A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7.  Vai plānojat pieslēgties centralizētajiem kanalizācijas tīkliem?</w:t>
      </w:r>
    </w:p>
    <w:p w14:paraId="76426B1D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sz w:val="19"/>
          <w:szCs w:val="20"/>
          <w:lang w:val="lv-LV"/>
        </w:rPr>
        <w:t> </w:t>
      </w: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51A34BCA" wp14:editId="009F6F3C">
            <wp:extent cx="121920" cy="121920"/>
            <wp:effectExtent l="0" t="0" r="0" b="0"/>
            <wp:docPr id="40" name="Attēl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jā (ja atbilde ir "Jā", lūdzu, atbildiet uz  8. jautājumu.)</w:t>
      </w:r>
    </w:p>
    <w:p w14:paraId="6D1434F6" w14:textId="77777777" w:rsidR="004F163F" w:rsidRPr="00414EB9" w:rsidRDefault="004F163F" w:rsidP="004F163F">
      <w:pPr>
        <w:shd w:val="clear" w:color="auto" w:fill="FFFFFF"/>
        <w:spacing w:before="130" w:after="0" w:line="260" w:lineRule="atLeas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b/>
          <w:bCs/>
          <w:sz w:val="19"/>
          <w:szCs w:val="20"/>
          <w:lang w:val="lv-LV"/>
        </w:rPr>
        <w:t> </w:t>
      </w:r>
      <w:r w:rsidRPr="00414EB9">
        <w:rPr>
          <w:rFonts w:ascii="Cambria" w:eastAsia="Times New Roman" w:hAnsi="Cambria" w:cs="Times New Roman"/>
          <w:b/>
          <w:bCs/>
          <w:noProof/>
          <w:sz w:val="19"/>
          <w:szCs w:val="20"/>
          <w:lang w:val="lv-LV" w:eastAsia="lv-LV"/>
        </w:rPr>
        <w:drawing>
          <wp:inline distT="0" distB="0" distL="0" distR="0" wp14:anchorId="7F7B0505" wp14:editId="2D7C81D0">
            <wp:extent cx="121920" cy="121920"/>
            <wp:effectExtent l="0" t="0" r="0" b="0"/>
            <wp:docPr id="41" name="Attēl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 nē</w:t>
      </w:r>
    </w:p>
    <w:p w14:paraId="3B40C444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8. Kad plānojat pieslēgties centralizētajiem kanalizācijas tīkliem?</w:t>
      </w:r>
    </w:p>
    <w:p w14:paraId="3EB64B21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i/>
          <w:iCs/>
          <w:sz w:val="19"/>
          <w:szCs w:val="20"/>
          <w:lang w:val="lv-LV"/>
        </w:rPr>
        <w:t>___________________________/norāda plānoto termiņu/</w:t>
      </w:r>
    </w:p>
    <w:p w14:paraId="726D1670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Datums _________________</w:t>
      </w:r>
    </w:p>
    <w:p w14:paraId="5E02C4A4" w14:textId="77777777" w:rsidR="004F163F" w:rsidRPr="00414EB9" w:rsidRDefault="004F163F" w:rsidP="004F163F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20"/>
          <w:lang w:val="lv-LV"/>
        </w:rPr>
      </w:pPr>
      <w:r w:rsidRPr="00414EB9">
        <w:rPr>
          <w:rFonts w:ascii="Cambria" w:eastAsia="Times New Roman" w:hAnsi="Cambria" w:cs="Times New Roman"/>
          <w:sz w:val="19"/>
          <w:szCs w:val="20"/>
          <w:lang w:val="lv-LV"/>
        </w:rPr>
        <w:t>Decentralizētās kanalizācijas sistēmas īpašnieks vai valdītājs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1"/>
        <w:gridCol w:w="4485"/>
      </w:tblGrid>
      <w:tr w:rsidR="004F163F" w:rsidRPr="00954A54" w14:paraId="00DE41DD" w14:textId="77777777" w:rsidTr="00B7350D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CE3BCD" w14:textId="77777777" w:rsidR="004F163F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 </w:t>
            </w:r>
          </w:p>
          <w:p w14:paraId="3C730778" w14:textId="77777777" w:rsidR="004B592F" w:rsidRDefault="004B592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</w:p>
          <w:p w14:paraId="2B3EAE75" w14:textId="77777777" w:rsidR="004B592F" w:rsidRPr="00954A54" w:rsidRDefault="004B592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EB7810B" w14:textId="77777777" w:rsidR="004F163F" w:rsidRPr="00954A54" w:rsidRDefault="004F163F" w:rsidP="00B735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sz w:val="19"/>
                <w:szCs w:val="20"/>
                <w:lang w:val="lv-LV"/>
              </w:rPr>
              <w:t> </w:t>
            </w:r>
          </w:p>
        </w:tc>
      </w:tr>
      <w:tr w:rsidR="004F163F" w:rsidRPr="00954A54" w14:paraId="7C1D7E3F" w14:textId="77777777" w:rsidTr="00B7350D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7DF8" w14:textId="77777777" w:rsidR="004F163F" w:rsidRPr="00954A54" w:rsidRDefault="004F163F" w:rsidP="00B735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val="lv-LV"/>
              </w:rPr>
            </w:pPr>
          </w:p>
        </w:tc>
        <w:tc>
          <w:tcPr>
            <w:tcW w:w="2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D9A8643" w14:textId="45C2D07D" w:rsidR="004F163F" w:rsidRPr="00954A54" w:rsidRDefault="004F163F" w:rsidP="00B735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7"/>
                <w:szCs w:val="17"/>
                <w:lang w:val="lv-LV"/>
              </w:rPr>
            </w:pPr>
            <w:r w:rsidRPr="00954A54">
              <w:rPr>
                <w:rFonts w:ascii="Cambria" w:eastAsia="Times New Roman" w:hAnsi="Cambria" w:cs="Times New Roman"/>
                <w:i/>
                <w:iCs/>
                <w:sz w:val="17"/>
                <w:szCs w:val="17"/>
                <w:lang w:val="lv-LV"/>
              </w:rPr>
              <w:t>(vārds, uzvārds un paraksts)</w:t>
            </w:r>
          </w:p>
        </w:tc>
      </w:tr>
    </w:tbl>
    <w:p w14:paraId="128122C9" w14:textId="77777777" w:rsidR="004E7EE6" w:rsidRDefault="004E7EE6"/>
    <w:sectPr w:rsidR="004E7E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3F"/>
    <w:rsid w:val="000754BB"/>
    <w:rsid w:val="004B592F"/>
    <w:rsid w:val="004E7EE6"/>
    <w:rsid w:val="004F163F"/>
    <w:rsid w:val="007357A0"/>
    <w:rsid w:val="00D60BED"/>
    <w:rsid w:val="00D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12B4"/>
  <w15:chartTrackingRefBased/>
  <w15:docId w15:val="{13DB77ED-84DA-4796-BB7D-4982D4B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163F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Evija Valaine</cp:lastModifiedBy>
  <cp:revision>4</cp:revision>
  <dcterms:created xsi:type="dcterms:W3CDTF">2023-11-24T07:00:00Z</dcterms:created>
  <dcterms:modified xsi:type="dcterms:W3CDTF">2023-12-13T09:40:00Z</dcterms:modified>
</cp:coreProperties>
</file>